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Terms &amp; Conditions - Appendices</w:t>
      </w:r>
    </w:p>
    <w:p>
      <w:pPr>
        <w:jc w:val="center"/>
      </w:pPr>
      <w:r>
        <w:rPr>
          <w:b/>
        </w:rPr>
        <w:t>Withdrawal form and legal reference appendix</w:t>
      </w:r>
    </w:p>
    <w:p>
      <w:pPr>
        <w:jc w:val="center"/>
      </w:pPr>
      <w:r>
        <w:rPr>
          <w:b/>
        </w:rPr>
        <w:t>FACEPIGMENT.DE</w:t>
      </w:r>
    </w:p>
    <w:p/>
    <w:p>
      <w:pPr>
        <w:pStyle w:val="Heading1"/>
      </w:pPr>
      <w:r>
        <w:t>Appendix 1 - Model withdrawal form</w:t>
      </w:r>
    </w:p>
    <w:p>
      <w:r>
        <w:t>This model form may be used to exercise the consumer right of withdrawal. Use of this exact form is not mandatory; any clear withdrawal statement is acceptable where the statutory right applies.</w:t>
      </w:r>
    </w:p>
    <w:p>
      <w:r>
        <w:rPr>
          <w:b/>
        </w:rPr>
        <w:t xml:space="preserve">Recipient: </w:t>
      </w:r>
      <w:r>
        <w:t>MAGYAR SZILÁRD EV., HUNGARY / BUDAPEST PUSZTADOMBI UTCA 1., INFO@PMUPRODUCTS.COM</w:t>
      </w:r>
    </w:p>
    <w:p>
      <w:r>
        <w:t>I hereby give notice that I exercise my right of withdrawal in respect of the contract for the sale of the following product(s):</w:t>
      </w:r>
    </w:p>
    <w:tbl>
      <w:tblPr>
        <w:tblW w:type="auto" w:w="0"/>
        <w:tblLayout w:type="fixed"/>
        <w:tblLook w:firstColumn="1" w:firstRow="1" w:lastColumn="0" w:lastRow="0" w:noHBand="0" w:noVBand="1" w:val="04A0"/>
      </w:tblPr>
      <w:tblGrid>
        <w:gridCol w:w="5040"/>
        <w:gridCol w:w="5040"/>
      </w:tblGrid>
      <w:tr>
        <w:tc>
          <w:tcPr>
            <w:tcW w:type="dxa" w:w="3024"/>
            <w:tcMar>
              <w:top w:w="100" w:type="dxa"/>
              <w:start w:w="120" w:type="dxa"/>
              <w:bottom w:w="100" w:type="dxa"/>
              <w:end w:w="120" w:type="dxa"/>
            </w:tcMar>
          </w:tcPr>
          <w:p>
            <w:r>
              <w:rPr>
                <w:b/>
              </w:rPr>
              <w:t>Order number</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Order date</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Date received</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Product(s)</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Consumer name</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Consumer address</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Consumer e-mail</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Refund details, if required</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Date</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Signature (paper form only)</w:t>
            </w:r>
          </w:p>
        </w:tc>
        <w:tc>
          <w:tcPr>
            <w:tcW w:type="dxa" w:w="6912"/>
            <w:tcMar>
              <w:top w:w="100" w:type="dxa"/>
              <w:start w:w="120" w:type="dxa"/>
              <w:bottom w:w="100" w:type="dxa"/>
              <w:end w:w="120" w:type="dxa"/>
            </w:tcMar>
          </w:tcPr>
          <w:p>
            <w:r>
              <w:t>____________________________________________</w:t>
            </w:r>
          </w:p>
        </w:tc>
      </w:tr>
    </w:tbl>
    <w:p>
      <w:r>
        <w:rPr>
          <w:b/>
        </w:rPr>
        <w:t xml:space="preserve">Hygiene exception reminder. </w:t>
      </w:r>
      <w:r>
        <w:t>For originally sealed goods that are not suitable for return for health-protection or hygiene reasons once unsealed after delivery, the right of withdrawal may only be excluded where the specific product meets the statutory exception and the consumer broke the seal after delivery.</w:t>
      </w:r>
    </w:p>
    <w:p>
      <w:pPr>
        <w:pStyle w:val="Heading1"/>
      </w:pPr>
      <w:r>
        <w:t>Appendix 2 - Main legal framework (informative)</w:t>
      </w:r>
    </w:p>
    <w:p>
      <w:pPr>
        <w:pStyle w:val="ListBullet"/>
      </w:pPr>
      <w:r>
        <w:t>Hungarian Act V of 2013 on the Civil Code.</w:t>
      </w:r>
    </w:p>
    <w:p>
      <w:pPr>
        <w:pStyle w:val="ListBullet"/>
      </w:pPr>
      <w:r>
        <w:t>Hungarian Act CVIII of 2001 on certain issues of electronic commerce services.</w:t>
      </w:r>
    </w:p>
    <w:p>
      <w:pPr>
        <w:pStyle w:val="ListBullet"/>
      </w:pPr>
      <w:r>
        <w:t>Hungarian Act CLV of 1997 on consumer protection.</w:t>
      </w:r>
    </w:p>
    <w:p>
      <w:pPr>
        <w:pStyle w:val="ListBullet"/>
      </w:pPr>
      <w:r>
        <w:t>Hungarian Government Decree 45/2014 (II. 26.) on detailed rules of contracts between consumers and businesses.</w:t>
      </w:r>
    </w:p>
    <w:p>
      <w:pPr>
        <w:pStyle w:val="ListBullet"/>
      </w:pPr>
      <w:r>
        <w:t>Hungarian Government Decree 373/2021 (VI. 30.) on consumer contracts for the sale of goods, digital content and digital services.</w:t>
      </w:r>
    </w:p>
    <w:p>
      <w:pPr>
        <w:pStyle w:val="ListBullet"/>
      </w:pPr>
      <w:r>
        <w:t>Hungarian NGM Decree 19/2014 (IV. 29.) on procedural rules for handling warranty and guarantee claims.</w:t>
      </w:r>
    </w:p>
    <w:p>
      <w:pPr>
        <w:pStyle w:val="ListBullet"/>
      </w:pPr>
      <w:r>
        <w:t>Hungarian Government Decree 151/2003 (IX. 22.) on mandatory guarantees for certain durable consumer goods.</w:t>
      </w:r>
    </w:p>
    <w:p>
      <w:pPr>
        <w:pStyle w:val="ListBullet"/>
      </w:pPr>
      <w:r>
        <w:t>Directive 2011/83/EU of the European Parliament and of the Council on consumer rights.</w:t>
      </w:r>
    </w:p>
    <w:p>
      <w:pPr>
        <w:pStyle w:val="ListBullet"/>
      </w:pPr>
      <w:r>
        <w:t>Regulation (EC) No 593/2008 of the European Parliament and of the Council (Rome I).</w:t>
      </w:r>
    </w:p>
    <w:p>
      <w:pPr>
        <w:pStyle w:val="ListBullet"/>
      </w:pPr>
      <w:r>
        <w:t>Regulation (EU) 2016/679 (GDPR).</w:t>
      </w:r>
    </w:p>
    <w:p>
      <w:pPr>
        <w:pStyle w:val="ListBullet"/>
      </w:pPr>
      <w:r>
        <w:t>REACH Regulation (EC) No 1907/2006, including restrictions applicable to tattoo inks and permanent make-up mixtures.</w:t>
      </w:r>
    </w:p>
    <w:p>
      <w:r>
        <w:rPr>
          <w:b/>
        </w:rPr>
        <w:t xml:space="preserve">Version: </w:t>
      </w:r>
      <w:r>
        <w:t>1.0 | Effective: 30 September 2026</w:t>
      </w:r>
    </w:p>
    <w:p>
      <w:r>
        <w:rPr>
          <w:i/>
        </w:rPr>
        <w:t>This appendix is provided for practical use and does not replace individual legal advice.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